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9297"/>
      </w:tblGrid>
      <w:tr w:rsidR="00D26C39" w:rsidRPr="000A74BD" w:rsidTr="00F91C28">
        <w:trPr>
          <w:trHeight w:val="81"/>
        </w:trPr>
        <w:tc>
          <w:tcPr>
            <w:tcW w:w="373" w:type="dxa"/>
          </w:tcPr>
          <w:p w:rsidR="00D26C39" w:rsidRPr="000A74BD" w:rsidRDefault="00D26C39" w:rsidP="00D2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4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458" w:type="dxa"/>
          </w:tcPr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ФЕДЕРАЛЬНАЯ СЛУЖБА ГОСУДАРСТВЕННОЙ СТАТИСТИКИ</w:t>
            </w:r>
          </w:p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>(РОССТАТ)</w:t>
            </w:r>
          </w:p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 Федеральной службы государственной статистики по Республике Карелия</w:t>
            </w:r>
          </w:p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75C" w:rsidRPr="000C1D90" w:rsidRDefault="000C1D90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475C"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C0475C"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      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  <w:p w:rsidR="00C0475C" w:rsidRPr="000C1D90" w:rsidRDefault="00C0475C" w:rsidP="00C0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488" w:rsidRPr="000C1D90" w:rsidRDefault="001C3488" w:rsidP="00BF17CA">
            <w:pPr>
              <w:spacing w:after="10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28" w:rsidRPr="00BF17CA" w:rsidRDefault="00F91C28" w:rsidP="001C3488">
            <w:pPr>
              <w:spacing w:after="100"/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1C3488"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плана минимизации коррупционных рисков, возникающих при осуществлении закупок </w:t>
            </w:r>
            <w:r w:rsidRPr="000C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Территориальном органе Федеральной службы государственной статистики по Республике </w:t>
            </w:r>
            <w:r w:rsidRPr="00BF1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Карелия </w:t>
            </w:r>
          </w:p>
          <w:p w:rsidR="00AD1138" w:rsidRPr="00AD1138" w:rsidRDefault="00AD1138" w:rsidP="00AD1138">
            <w:pPr>
              <w:shd w:val="clear" w:color="auto" w:fill="FFFFFF"/>
              <w:ind w:firstLine="60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(в ред. Приказа </w:t>
            </w:r>
            <w:proofErr w:type="spellStart"/>
            <w:r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Карелиястата</w:t>
            </w:r>
            <w:proofErr w:type="spellEnd"/>
            <w:r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 </w:t>
            </w:r>
            <w:r w:rsidR="00FD56EE"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28.07.2023 г. № 121, </w:t>
            </w:r>
            <w:r w:rsidR="00FD56EE"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от 01.08.2024 №</w:t>
            </w:r>
            <w:r w:rsidR="00BF17CA"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73</w:t>
            </w:r>
            <w:r w:rsidRPr="00BF1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F91C28" w:rsidRPr="000C1D90" w:rsidRDefault="00F91C28" w:rsidP="00F91C28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8" w:rsidRPr="000C1D90" w:rsidRDefault="00F91C28" w:rsidP="001C3488">
            <w:pPr>
              <w:spacing w:after="100"/>
              <w:ind w:left="34" w:firstLine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25.12.2008 № 273-ФЗ                  «О противодействии коррупции», </w:t>
            </w:r>
            <w:proofErr w:type="gramStart"/>
            <w:r w:rsidRPr="000C1D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 р и к а з ы в а</w:t>
            </w:r>
            <w:r w:rsidR="001C3488"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F91C28" w:rsidRPr="000C1D90" w:rsidRDefault="00F91C28" w:rsidP="00335304">
            <w:pPr>
              <w:pStyle w:val="aa"/>
              <w:numPr>
                <w:ilvl w:val="0"/>
                <w:numId w:val="1"/>
              </w:numPr>
              <w:spacing w:after="100"/>
              <w:ind w:left="0" w:firstLine="781"/>
              <w:rPr>
                <w:sz w:val="28"/>
                <w:szCs w:val="28"/>
              </w:rPr>
            </w:pPr>
            <w:r w:rsidRPr="000C1D90">
              <w:rPr>
                <w:sz w:val="28"/>
                <w:szCs w:val="28"/>
              </w:rPr>
              <w:t xml:space="preserve">Утвердить </w:t>
            </w:r>
            <w:r w:rsidR="001C3488" w:rsidRPr="000C1D90">
              <w:rPr>
                <w:sz w:val="28"/>
                <w:szCs w:val="28"/>
              </w:rPr>
              <w:t>план минимизации коррупционных рисков, возникающих при осуществлении закупок</w:t>
            </w:r>
            <w:r w:rsidRPr="000C1D90">
              <w:rPr>
                <w:sz w:val="28"/>
                <w:szCs w:val="28"/>
              </w:rPr>
              <w:t xml:space="preserve"> в Территориальном органе Федеральной службы государственной статистики по Республике Карелия, согласно приложению.</w:t>
            </w:r>
          </w:p>
          <w:p w:rsidR="00335304" w:rsidRPr="000C1D90" w:rsidRDefault="00335304" w:rsidP="00335304">
            <w:pPr>
              <w:pStyle w:val="aa"/>
              <w:numPr>
                <w:ilvl w:val="0"/>
                <w:numId w:val="1"/>
              </w:numPr>
              <w:spacing w:after="100"/>
              <w:ind w:left="0" w:firstLine="781"/>
              <w:rPr>
                <w:sz w:val="28"/>
                <w:szCs w:val="28"/>
              </w:rPr>
            </w:pPr>
            <w:r w:rsidRPr="000C1D90">
              <w:rPr>
                <w:sz w:val="28"/>
                <w:szCs w:val="28"/>
              </w:rPr>
              <w:t>Приказ от 07.06.2022 г. № 82 «Об утверждении плана минимизации коррупционных рисков, возникающих при осуществлении закупок в Территориальном органе Федеральной службы государственной статистики по Республике Карелия» считать утратившим силу.</w:t>
            </w:r>
          </w:p>
          <w:p w:rsidR="00F91C28" w:rsidRPr="000C1D90" w:rsidRDefault="00F91C28" w:rsidP="00F91C28">
            <w:pPr>
              <w:ind w:left="34" w:firstLine="7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8" w:rsidRPr="000C1D90" w:rsidRDefault="00F91C28" w:rsidP="00F91C28">
            <w:pPr>
              <w:spacing w:after="100"/>
              <w:ind w:left="34" w:firstLine="7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04" w:rsidRPr="000C1D90" w:rsidRDefault="00335304" w:rsidP="001C3488">
            <w:pPr>
              <w:spacing w:afterAutospacing="0"/>
              <w:ind w:left="34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D26C39" w:rsidRPr="000C1D90" w:rsidRDefault="00335304" w:rsidP="00335304">
            <w:pPr>
              <w:spacing w:afterAutospacing="0"/>
              <w:ind w:left="34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>обязанности р</w:t>
            </w:r>
            <w:r w:rsidR="00F91C28" w:rsidRPr="000C1D90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91C28"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1C28" w:rsidRPr="000C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D90">
              <w:rPr>
                <w:rFonts w:ascii="Times New Roman" w:hAnsi="Times New Roman" w:cs="Times New Roman"/>
                <w:sz w:val="28"/>
                <w:szCs w:val="28"/>
              </w:rPr>
              <w:t>Л.С. Король</w:t>
            </w:r>
          </w:p>
        </w:tc>
      </w:tr>
    </w:tbl>
    <w:p w:rsidR="00F91C28" w:rsidRDefault="00F91C28" w:rsidP="00F91C28">
      <w:pPr>
        <w:ind w:left="9639"/>
        <w:jc w:val="center"/>
        <w:rPr>
          <w:rFonts w:ascii="Times New Roman" w:hAnsi="Times New Roman" w:cs="Times New Roman"/>
          <w:sz w:val="28"/>
          <w:szCs w:val="28"/>
        </w:rPr>
        <w:sectPr w:rsidR="00F91C28" w:rsidSect="00F91C28">
          <w:pgSz w:w="11906" w:h="16838" w:code="9"/>
          <w:pgMar w:top="964" w:right="851" w:bottom="964" w:left="1588" w:header="709" w:footer="709" w:gutter="0"/>
          <w:cols w:space="708"/>
          <w:docGrid w:linePitch="360"/>
        </w:sectPr>
      </w:pPr>
    </w:p>
    <w:p w:rsidR="00F91C28" w:rsidRPr="000A74BD" w:rsidRDefault="00F91C28" w:rsidP="00AD113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A74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1C28" w:rsidRPr="000A74BD" w:rsidRDefault="00F91C28" w:rsidP="00AD113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A74BD">
        <w:rPr>
          <w:rFonts w:ascii="Times New Roman" w:hAnsi="Times New Roman" w:cs="Times New Roman"/>
          <w:sz w:val="28"/>
          <w:szCs w:val="28"/>
        </w:rPr>
        <w:t>Утверждено</w:t>
      </w:r>
    </w:p>
    <w:p w:rsidR="00F91C28" w:rsidRPr="000A74BD" w:rsidRDefault="00F91C28" w:rsidP="00AD113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A74B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A74BD">
        <w:rPr>
          <w:rFonts w:ascii="Times New Roman" w:hAnsi="Times New Roman" w:cs="Times New Roman"/>
          <w:sz w:val="28"/>
          <w:szCs w:val="28"/>
        </w:rPr>
        <w:t>Карелиястата</w:t>
      </w:r>
      <w:proofErr w:type="spellEnd"/>
    </w:p>
    <w:p w:rsidR="00F91C28" w:rsidRPr="00BF17CA" w:rsidRDefault="00F91C28" w:rsidP="00EA7EA5">
      <w:pPr>
        <w:tabs>
          <w:tab w:val="left" w:pos="5805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A74BD">
        <w:rPr>
          <w:rFonts w:ascii="Times New Roman" w:hAnsi="Times New Roman" w:cs="Times New Roman"/>
          <w:sz w:val="28"/>
          <w:szCs w:val="28"/>
        </w:rPr>
        <w:t xml:space="preserve">от </w:t>
      </w:r>
      <w:r w:rsidR="000C1D90">
        <w:rPr>
          <w:rFonts w:ascii="Times New Roman" w:hAnsi="Times New Roman" w:cs="Times New Roman"/>
          <w:sz w:val="28"/>
          <w:szCs w:val="28"/>
        </w:rPr>
        <w:t>01</w:t>
      </w:r>
      <w:r w:rsidRPr="000A74BD">
        <w:rPr>
          <w:rFonts w:ascii="Times New Roman" w:hAnsi="Times New Roman" w:cs="Times New Roman"/>
          <w:sz w:val="28"/>
          <w:szCs w:val="28"/>
        </w:rPr>
        <w:t>.</w:t>
      </w:r>
      <w:r w:rsidR="000C1D90">
        <w:rPr>
          <w:rFonts w:ascii="Times New Roman" w:hAnsi="Times New Roman" w:cs="Times New Roman"/>
          <w:sz w:val="28"/>
          <w:szCs w:val="28"/>
        </w:rPr>
        <w:t>08</w:t>
      </w:r>
      <w:r w:rsidR="00EA7EA5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0C1D90">
        <w:rPr>
          <w:rFonts w:ascii="Times New Roman" w:hAnsi="Times New Roman" w:cs="Times New Roman"/>
          <w:sz w:val="28"/>
          <w:szCs w:val="28"/>
        </w:rPr>
        <w:t>113</w:t>
      </w:r>
    </w:p>
    <w:p w:rsidR="00EA7EA5" w:rsidRPr="00EA7EA5" w:rsidRDefault="00EA7EA5" w:rsidP="00EA7EA5">
      <w:pPr>
        <w:tabs>
          <w:tab w:val="left" w:pos="5805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A7E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 от 28.07</w:t>
      </w:r>
      <w:r w:rsidR="00A47BE1">
        <w:rPr>
          <w:rFonts w:ascii="Times New Roman" w:hAnsi="Times New Roman" w:cs="Times New Roman"/>
          <w:sz w:val="28"/>
          <w:szCs w:val="28"/>
        </w:rPr>
        <w:t xml:space="preserve">.2023 № 121, </w:t>
      </w:r>
      <w:r w:rsidR="00A47BE1">
        <w:rPr>
          <w:rFonts w:ascii="Times New Roman" w:hAnsi="Times New Roman" w:cs="Times New Roman"/>
          <w:sz w:val="28"/>
          <w:szCs w:val="28"/>
        </w:rPr>
        <w:br/>
        <w:t>от 01.08.2024 № 73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91C28" w:rsidRDefault="00F91C28" w:rsidP="00F91C28">
      <w:pPr>
        <w:tabs>
          <w:tab w:val="left" w:pos="5805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C39" w:rsidRPr="000A74BD" w:rsidRDefault="00D26C39" w:rsidP="00D26C39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МИНИМИЗАЦИИ КОРРУПЦИОННЫХ РИСКОВ, </w:t>
      </w:r>
    </w:p>
    <w:p w:rsidR="00D26C39" w:rsidRPr="000A74BD" w:rsidRDefault="00D26C39" w:rsidP="00D26C39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ОСУЩЕСТВЛЕНИИ ЗАКУПОК </w:t>
      </w:r>
    </w:p>
    <w:p w:rsidR="00D26C39" w:rsidRPr="000A74BD" w:rsidRDefault="00D26C39" w:rsidP="00D26C39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-2069" w:type="dxa"/>
        <w:tblLook w:val="04A0" w:firstRow="1" w:lastRow="0" w:firstColumn="1" w:lastColumn="0" w:noHBand="0" w:noVBand="1"/>
      </w:tblPr>
      <w:tblGrid>
        <w:gridCol w:w="719"/>
        <w:gridCol w:w="2744"/>
        <w:gridCol w:w="3685"/>
        <w:gridCol w:w="1985"/>
        <w:gridCol w:w="2784"/>
        <w:gridCol w:w="3862"/>
      </w:tblGrid>
      <w:tr w:rsidR="00D26C39" w:rsidRPr="000A74BD" w:rsidTr="00FD5B05">
        <w:trPr>
          <w:jc w:val="center"/>
        </w:trPr>
        <w:tc>
          <w:tcPr>
            <w:tcW w:w="719" w:type="dxa"/>
          </w:tcPr>
          <w:p w:rsidR="00D26C39" w:rsidRPr="000A74BD" w:rsidRDefault="00D26C39" w:rsidP="00FD5B05">
            <w:pPr>
              <w:tabs>
                <w:tab w:val="left" w:pos="5805"/>
              </w:tabs>
              <w:spacing w:afterAutospacing="0"/>
              <w:ind w:left="43" w:hanging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D26C39" w:rsidRPr="000A74BD" w:rsidRDefault="00D26C39" w:rsidP="00D26C39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минимизируемого</w:t>
            </w:r>
            <w:proofErr w:type="spellEnd"/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6C39" w:rsidRPr="000A74BD" w:rsidRDefault="00D26C39" w:rsidP="00D26C39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3685" w:type="dxa"/>
          </w:tcPr>
          <w:p w:rsidR="00D26C39" w:rsidRPr="000A74BD" w:rsidRDefault="00D26C39" w:rsidP="00D26C39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 по минимизации коррупционных рисков</w:t>
            </w:r>
          </w:p>
        </w:tc>
        <w:tc>
          <w:tcPr>
            <w:tcW w:w="1985" w:type="dxa"/>
          </w:tcPr>
          <w:p w:rsidR="00D26C39" w:rsidRPr="000A74BD" w:rsidRDefault="00D26C39" w:rsidP="00201FD7">
            <w:pPr>
              <w:tabs>
                <w:tab w:val="left" w:pos="5805"/>
              </w:tabs>
              <w:spacing w:afterAutospacing="0"/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784" w:type="dxa"/>
          </w:tcPr>
          <w:p w:rsidR="00D26C39" w:rsidRPr="000A74BD" w:rsidRDefault="00D26C39" w:rsidP="00D26C39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62" w:type="dxa"/>
          </w:tcPr>
          <w:p w:rsidR="00D26C39" w:rsidRPr="000A74BD" w:rsidRDefault="00D26C39" w:rsidP="00D26C39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4B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результат</w:t>
            </w:r>
          </w:p>
        </w:tc>
      </w:tr>
      <w:tr w:rsidR="00D26C39" w:rsidRPr="000A74BD" w:rsidTr="00FD5B05">
        <w:trPr>
          <w:jc w:val="center"/>
        </w:trPr>
        <w:tc>
          <w:tcPr>
            <w:tcW w:w="719" w:type="dxa"/>
          </w:tcPr>
          <w:p w:rsidR="00D26C39" w:rsidRPr="000A74BD" w:rsidRDefault="00D26C39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44" w:type="dxa"/>
          </w:tcPr>
          <w:p w:rsidR="00D26C39" w:rsidRPr="000A74BD" w:rsidRDefault="00D26C39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 локального акта, регулирующего закупочную деятельность на всех ее этапах</w:t>
            </w:r>
          </w:p>
        </w:tc>
        <w:tc>
          <w:tcPr>
            <w:tcW w:w="3685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и утверждение локального акта, регулирующего закупочную деятельность на всех ее этапах</w:t>
            </w:r>
          </w:p>
        </w:tc>
        <w:tc>
          <w:tcPr>
            <w:tcW w:w="1985" w:type="dxa"/>
          </w:tcPr>
          <w:p w:rsidR="00D26C39" w:rsidRPr="000A74BD" w:rsidRDefault="00FD5B05" w:rsidP="00D26C39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Ежегодно </w:t>
            </w:r>
          </w:p>
        </w:tc>
        <w:tc>
          <w:tcPr>
            <w:tcW w:w="2784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201FD7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862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Регламентирование осуществления закупок на всех ее  этапах</w:t>
            </w:r>
          </w:p>
        </w:tc>
      </w:tr>
      <w:tr w:rsidR="00FD5B05" w:rsidRPr="000A74BD" w:rsidTr="00FD5B05">
        <w:trPr>
          <w:jc w:val="center"/>
        </w:trPr>
        <w:tc>
          <w:tcPr>
            <w:tcW w:w="719" w:type="dxa"/>
          </w:tcPr>
          <w:p w:rsidR="00D26C39" w:rsidRPr="000A74BD" w:rsidRDefault="00D26C39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744" w:type="dxa"/>
          </w:tcPr>
          <w:p w:rsidR="00D26C39" w:rsidRPr="000A74BD" w:rsidRDefault="00D26C39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Закупка товаров, работ и услуг при отсутствии потребности</w:t>
            </w:r>
          </w:p>
        </w:tc>
        <w:tc>
          <w:tcPr>
            <w:tcW w:w="3685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Ознакомление с обзором недостатков и нарушений, связанных с признанием закупки необоснованной, по результатам мониторинга нарушений, выявленных в Росстате (ФАС России и Федеральным казначейством)</w:t>
            </w:r>
          </w:p>
        </w:tc>
        <w:tc>
          <w:tcPr>
            <w:tcW w:w="1985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поступления обзоров</w:t>
            </w:r>
          </w:p>
        </w:tc>
        <w:tc>
          <w:tcPr>
            <w:tcW w:w="2784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Отделы-заказчики закупок</w:t>
            </w:r>
          </w:p>
          <w:p w:rsidR="00201FD7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862" w:type="dxa"/>
          </w:tcPr>
          <w:p w:rsidR="00D26C39" w:rsidRPr="000A74BD" w:rsidRDefault="00201FD7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Минимизация возможности включения закупок в план-график закупок товаров, работ, услуг, которые не соответствуют потребностям </w:t>
            </w:r>
            <w:proofErr w:type="spellStart"/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Карелиястата</w:t>
            </w:r>
            <w:proofErr w:type="spellEnd"/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целью недопущения</w:t>
            </w:r>
            <w:r w:rsidR="00FD5B05"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избыточного расходования бюджетных средств</w:t>
            </w:r>
          </w:p>
        </w:tc>
      </w:tr>
    </w:tbl>
    <w:p w:rsidR="00FD5B05" w:rsidRPr="000A74BD" w:rsidRDefault="00FD5B05">
      <w:pPr>
        <w:rPr>
          <w:rFonts w:ascii="Times New Roman" w:hAnsi="Times New Roman" w:cs="Times New Roman"/>
          <w:sz w:val="26"/>
          <w:szCs w:val="26"/>
        </w:rPr>
      </w:pPr>
      <w:r w:rsidRPr="000A74B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1"/>
        <w:tblW w:w="0" w:type="auto"/>
        <w:jc w:val="center"/>
        <w:tblInd w:w="-1952" w:type="dxa"/>
        <w:tblLook w:val="04A0" w:firstRow="1" w:lastRow="0" w:firstColumn="1" w:lastColumn="0" w:noHBand="0" w:noVBand="1"/>
      </w:tblPr>
      <w:tblGrid>
        <w:gridCol w:w="677"/>
        <w:gridCol w:w="2867"/>
        <w:gridCol w:w="4103"/>
        <w:gridCol w:w="1985"/>
        <w:gridCol w:w="2701"/>
        <w:gridCol w:w="3961"/>
      </w:tblGrid>
      <w:tr w:rsidR="00D44E92" w:rsidRPr="000A74BD" w:rsidTr="00D44E92">
        <w:trPr>
          <w:jc w:val="center"/>
        </w:trPr>
        <w:tc>
          <w:tcPr>
            <w:tcW w:w="677" w:type="dxa"/>
            <w:vMerge w:val="restart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  <w:p w:rsidR="00D44E92" w:rsidRPr="000A74BD" w:rsidRDefault="00D44E92" w:rsidP="00FD5B05">
            <w:pPr>
              <w:tabs>
                <w:tab w:val="left" w:pos="242"/>
                <w:tab w:val="left" w:pos="5805"/>
              </w:tabs>
              <w:ind w:left="-109" w:right="-2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br w:type="page"/>
            </w:r>
          </w:p>
        </w:tc>
        <w:tc>
          <w:tcPr>
            <w:tcW w:w="2867" w:type="dxa"/>
            <w:vMerge w:val="restart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личной заинтересованности</w:t>
            </w:r>
            <w:r w:rsidRPr="000A74BD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footnoteReference w:id="1"/>
            </w: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между участниками закупок</w:t>
            </w:r>
          </w:p>
        </w:tc>
        <w:tc>
          <w:tcPr>
            <w:tcW w:w="4103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Ротация не менее 70 процентов членов единых комиссий по осуществлению закупок товаров, работ, услуг и научно-исследовательских работ</w:t>
            </w:r>
          </w:p>
        </w:tc>
        <w:tc>
          <w:tcPr>
            <w:tcW w:w="1985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Один раз в год</w:t>
            </w:r>
          </w:p>
        </w:tc>
        <w:tc>
          <w:tcPr>
            <w:tcW w:w="2701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</w:tc>
        <w:tc>
          <w:tcPr>
            <w:tcW w:w="3961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Недопущение работы в составе комиссии заинтересованных лиц</w:t>
            </w:r>
          </w:p>
        </w:tc>
      </w:tr>
      <w:tr w:rsidR="00D44E92" w:rsidRPr="000A74BD" w:rsidTr="00D44E92">
        <w:trPr>
          <w:jc w:val="center"/>
        </w:trPr>
        <w:tc>
          <w:tcPr>
            <w:tcW w:w="677" w:type="dxa"/>
            <w:vMerge/>
          </w:tcPr>
          <w:p w:rsidR="00D44E92" w:rsidRPr="000A74BD" w:rsidRDefault="00D44E92" w:rsidP="00FD5B05">
            <w:pPr>
              <w:tabs>
                <w:tab w:val="left" w:pos="242"/>
                <w:tab w:val="left" w:pos="5805"/>
              </w:tabs>
              <w:ind w:left="-109" w:right="-233"/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2867" w:type="dxa"/>
            <w:vMerge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4103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Отстранение/самоотвод члена единой комиссии </w:t>
            </w:r>
            <w:proofErr w:type="spellStart"/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Карелиястата</w:t>
            </w:r>
            <w:proofErr w:type="spellEnd"/>
          </w:p>
        </w:tc>
        <w:tc>
          <w:tcPr>
            <w:tcW w:w="1985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При необходимости</w:t>
            </w:r>
          </w:p>
        </w:tc>
        <w:tc>
          <w:tcPr>
            <w:tcW w:w="2701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Члены единой комиссии</w:t>
            </w:r>
          </w:p>
        </w:tc>
        <w:tc>
          <w:tcPr>
            <w:tcW w:w="3961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Недопущение работы в составе комиссии заинтересованных лиц</w:t>
            </w:r>
          </w:p>
        </w:tc>
      </w:tr>
      <w:tr w:rsidR="00D44E92" w:rsidRPr="000A74BD" w:rsidTr="00D44E92">
        <w:trPr>
          <w:jc w:val="center"/>
        </w:trPr>
        <w:tc>
          <w:tcPr>
            <w:tcW w:w="677" w:type="dxa"/>
            <w:vMerge/>
          </w:tcPr>
          <w:p w:rsidR="00D44E92" w:rsidRPr="000A74BD" w:rsidRDefault="00D44E92" w:rsidP="00FD5B05">
            <w:pPr>
              <w:tabs>
                <w:tab w:val="left" w:pos="242"/>
                <w:tab w:val="left" w:pos="5805"/>
              </w:tabs>
              <w:ind w:left="-109" w:right="-233"/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2867" w:type="dxa"/>
            <w:vMerge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4103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Приемка поставленных товаров, выполненных работ, оказанных услуг с привлечением в состав приемочной комиссии представителей от отделов инициаторов закупки, в соответствии с локальным актом, указанным в пункте 1 настоящего Плана</w:t>
            </w:r>
          </w:p>
        </w:tc>
        <w:tc>
          <w:tcPr>
            <w:tcW w:w="1985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01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Отделы – инициаторы закупки и функциональные заказчики, в чьих интересах осуществляется закупка</w:t>
            </w:r>
          </w:p>
        </w:tc>
        <w:tc>
          <w:tcPr>
            <w:tcW w:w="3961" w:type="dxa"/>
          </w:tcPr>
          <w:p w:rsidR="00D44E92" w:rsidRPr="000A74BD" w:rsidRDefault="00D44E92" w:rsidP="00D44E92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более полного круга должностных лиц, причастных к осуществлению закупки, для осуществления перекрестного анализа профилей участников закупки, с целью выявления личной заинтересованности</w:t>
            </w:r>
          </w:p>
        </w:tc>
      </w:tr>
      <w:tr w:rsidR="00D44E92" w:rsidRPr="000A74BD" w:rsidTr="00D44E92">
        <w:trPr>
          <w:jc w:val="center"/>
        </w:trPr>
        <w:tc>
          <w:tcPr>
            <w:tcW w:w="677" w:type="dxa"/>
            <w:vMerge/>
          </w:tcPr>
          <w:p w:rsidR="00D44E92" w:rsidRPr="000A74BD" w:rsidRDefault="00D44E92" w:rsidP="00FD5B05">
            <w:pPr>
              <w:tabs>
                <w:tab w:val="left" w:pos="242"/>
                <w:tab w:val="left" w:pos="5805"/>
              </w:tabs>
              <w:ind w:left="-109" w:right="-233" w:firstLine="0"/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2867" w:type="dxa"/>
            <w:vMerge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4103" w:type="dxa"/>
          </w:tcPr>
          <w:p w:rsidR="00D44E92" w:rsidRPr="000A74BD" w:rsidRDefault="00D44E92" w:rsidP="008F31B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Проверка государственных контрактов на предмет личной заинтересованности гражданских служащих по критериям, указанным в Методических рекомендациях</w:t>
            </w:r>
            <w:r w:rsidRPr="000A74BD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985" w:type="dxa"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01" w:type="dxa"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961" w:type="dxa"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мероприятий, направленных на выявление личной заинтересованности между участниками закупок</w:t>
            </w:r>
          </w:p>
        </w:tc>
      </w:tr>
      <w:tr w:rsidR="00D44E92" w:rsidRPr="000A74BD" w:rsidTr="00D44E92">
        <w:trPr>
          <w:trHeight w:val="2818"/>
          <w:jc w:val="center"/>
        </w:trPr>
        <w:tc>
          <w:tcPr>
            <w:tcW w:w="677" w:type="dxa"/>
            <w:vMerge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2867" w:type="dxa"/>
            <w:vMerge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4103" w:type="dxa"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добровольного представления служащими в осуществлении закупок, декларации о возможной личной заинтересованности, по форме, предусмотренной Методическими рекомендациями</w:t>
            </w:r>
            <w:r w:rsidRPr="000A74BD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footnoteReference w:id="3"/>
            </w: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(Приложение № 1)</w:t>
            </w:r>
          </w:p>
        </w:tc>
        <w:tc>
          <w:tcPr>
            <w:tcW w:w="1985" w:type="dxa"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Ежегодно </w:t>
            </w:r>
          </w:p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01" w:type="dxa"/>
          </w:tcPr>
          <w:p w:rsidR="00D44E92" w:rsidRPr="000A74BD" w:rsidRDefault="00D44E92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Административный отдел </w:t>
            </w:r>
          </w:p>
        </w:tc>
        <w:tc>
          <w:tcPr>
            <w:tcW w:w="3961" w:type="dxa"/>
          </w:tcPr>
          <w:p w:rsidR="00D44E92" w:rsidRPr="000A74BD" w:rsidRDefault="00D44E92" w:rsidP="005F619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Получение дополнительной информации, свидетельствующей о возможном возникновении у гражданских служащих личной заинтересованности при осуществлении закупки</w:t>
            </w:r>
          </w:p>
        </w:tc>
      </w:tr>
      <w:tr w:rsidR="009F35DD" w:rsidRPr="000A74BD" w:rsidTr="00457D23">
        <w:trPr>
          <w:trHeight w:val="1709"/>
          <w:jc w:val="center"/>
        </w:trPr>
        <w:tc>
          <w:tcPr>
            <w:tcW w:w="677" w:type="dxa"/>
            <w:vMerge/>
          </w:tcPr>
          <w:p w:rsidR="009F35DD" w:rsidRPr="000A74BD" w:rsidRDefault="009F35DD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2867" w:type="dxa"/>
            <w:vMerge/>
          </w:tcPr>
          <w:p w:rsidR="009F35DD" w:rsidRPr="000A74BD" w:rsidRDefault="009F35DD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4103" w:type="dxa"/>
          </w:tcPr>
          <w:p w:rsidR="009F35DD" w:rsidRPr="009F35DD" w:rsidRDefault="009F35DD" w:rsidP="00457D23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Включение в заключаемые </w:t>
            </w:r>
            <w:proofErr w:type="spellStart"/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>Карелиястатом</w:t>
            </w:r>
            <w:proofErr w:type="spellEnd"/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государственные контракты и гражданско-правовые договоры раздела «Антикоррупционная оговорка» </w:t>
            </w:r>
          </w:p>
        </w:tc>
        <w:tc>
          <w:tcPr>
            <w:tcW w:w="1985" w:type="dxa"/>
          </w:tcPr>
          <w:p w:rsidR="009F35DD" w:rsidRPr="009F35DD" w:rsidRDefault="009F35DD" w:rsidP="002A27BA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701" w:type="dxa"/>
          </w:tcPr>
          <w:p w:rsidR="009F35DD" w:rsidRPr="009F35DD" w:rsidRDefault="009F35DD" w:rsidP="002A27BA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</w:tc>
        <w:tc>
          <w:tcPr>
            <w:tcW w:w="3961" w:type="dxa"/>
          </w:tcPr>
          <w:p w:rsidR="009F35DD" w:rsidRPr="009F35DD" w:rsidRDefault="009F35DD" w:rsidP="002A27BA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Минимизация таких рисков, </w:t>
            </w:r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как коммерческий подкуп,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9F35DD">
              <w:rPr>
                <w:rFonts w:ascii="Times New Roman" w:hAnsi="Times New Roman" w:cs="Times New Roman"/>
                <w:bCs/>
                <w:sz w:val="26"/>
                <w:szCs w:val="26"/>
              </w:rPr>
              <w:t>дача взятки</w:t>
            </w:r>
          </w:p>
        </w:tc>
      </w:tr>
      <w:tr w:rsidR="00FD5B05" w:rsidRPr="000A74BD" w:rsidTr="00D44E92">
        <w:trPr>
          <w:jc w:val="center"/>
        </w:trPr>
        <w:tc>
          <w:tcPr>
            <w:tcW w:w="677" w:type="dxa"/>
          </w:tcPr>
          <w:p w:rsidR="00FD5B05" w:rsidRPr="000A74BD" w:rsidRDefault="00FD5B05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867" w:type="dxa"/>
          </w:tcPr>
          <w:p w:rsidR="00FD5B05" w:rsidRPr="000A74BD" w:rsidRDefault="00FD5B05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4BD">
              <w:rPr>
                <w:rFonts w:ascii="Times New Roman" w:hAnsi="Times New Roman" w:cs="Times New Roman"/>
                <w:bCs/>
                <w:sz w:val="26"/>
                <w:szCs w:val="26"/>
              </w:rPr>
              <w:t>Неправильное формирование начальной (максимальной) цены контракта</w:t>
            </w:r>
          </w:p>
        </w:tc>
        <w:tc>
          <w:tcPr>
            <w:tcW w:w="4103" w:type="dxa"/>
          </w:tcPr>
          <w:p w:rsidR="00FD5B05" w:rsidRPr="00F64B6B" w:rsidRDefault="000A74BD" w:rsidP="000A74BD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</w:t>
            </w:r>
            <w:r w:rsidRPr="00F64B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указанных в Методических рекомендациях</w:t>
            </w:r>
            <w:r w:rsidRPr="00F64B6B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footnoteReference w:id="4"/>
            </w:r>
            <w:r w:rsidRPr="00F64B6B">
              <w:rPr>
                <w:rFonts w:ascii="Times New Roman" w:hAnsi="Times New Roman" w:cs="Times New Roman"/>
                <w:bCs/>
                <w:sz w:val="26"/>
                <w:szCs w:val="26"/>
              </w:rPr>
              <w:t>, и последующим сравнением результатов такого анализа и полученных на запросы ответов</w:t>
            </w:r>
          </w:p>
        </w:tc>
        <w:tc>
          <w:tcPr>
            <w:tcW w:w="1985" w:type="dxa"/>
          </w:tcPr>
          <w:p w:rsidR="00FD5B05" w:rsidRPr="00F64B6B" w:rsidRDefault="00F64B6B" w:rsidP="00F64B6B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4B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2701" w:type="dxa"/>
          </w:tcPr>
          <w:p w:rsidR="00FD5B05" w:rsidRPr="00F64B6B" w:rsidRDefault="00F64B6B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4B6B">
              <w:rPr>
                <w:rFonts w:ascii="Times New Roman" w:hAnsi="Times New Roman" w:cs="Times New Roman"/>
                <w:bCs/>
                <w:sz w:val="26"/>
                <w:szCs w:val="26"/>
              </w:rPr>
              <w:t>Отделы-заказчики закупок</w:t>
            </w:r>
          </w:p>
        </w:tc>
        <w:tc>
          <w:tcPr>
            <w:tcW w:w="3961" w:type="dxa"/>
          </w:tcPr>
          <w:p w:rsidR="00FD5B05" w:rsidRPr="00F64B6B" w:rsidRDefault="00F64B6B" w:rsidP="00D26C39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4B6B">
              <w:rPr>
                <w:rFonts w:ascii="Times New Roman" w:hAnsi="Times New Roman" w:cs="Times New Roman"/>
                <w:bCs/>
                <w:sz w:val="26"/>
                <w:szCs w:val="26"/>
              </w:rPr>
              <w:t>Недопущение привлечения к закупке аффилированного поставщика (исполнителя)</w:t>
            </w:r>
          </w:p>
        </w:tc>
      </w:tr>
      <w:tr w:rsidR="007C34B5" w:rsidRPr="000A74BD" w:rsidTr="00D44E92">
        <w:trPr>
          <w:jc w:val="center"/>
        </w:trPr>
        <w:tc>
          <w:tcPr>
            <w:tcW w:w="677" w:type="dxa"/>
          </w:tcPr>
          <w:p w:rsidR="007C34B5" w:rsidRPr="000A74BD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867" w:type="dxa"/>
          </w:tcPr>
          <w:p w:rsidR="007C34B5" w:rsidRPr="000A74BD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>Несоответствие извещения об осуществлении закупки, документации о закупке имеющимся финансовым ресурсам (закладываемое в извещение, документацию качество продукции не соответствует (ниже) цене этой продукции, заложенной в проект контракта)</w:t>
            </w:r>
          </w:p>
        </w:tc>
        <w:tc>
          <w:tcPr>
            <w:tcW w:w="4103" w:type="dxa"/>
          </w:tcPr>
          <w:p w:rsidR="007C34B5" w:rsidRDefault="007C34B5" w:rsidP="00E72C4E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>редоставление заказчиком обоснования описания объекта закупки и начальной (максимальной) цены контракта, использование типовых описаний объектов закупки, типовых контрактов, учет заказчиком предложений субъектов общественного контроля в сфере закупок</w:t>
            </w:r>
          </w:p>
          <w:p w:rsidR="007C34B5" w:rsidRPr="00F64B6B" w:rsidRDefault="007C34B5" w:rsidP="00E72C4E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7C34B5" w:rsidRPr="00F64B6B" w:rsidRDefault="007C34B5" w:rsidP="00E72C4E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01" w:type="dxa"/>
          </w:tcPr>
          <w:p w:rsidR="007C34B5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7C34B5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Отделы-заказчики закупок</w:t>
            </w:r>
          </w:p>
          <w:p w:rsidR="007C34B5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  <w:p w:rsidR="007C34B5" w:rsidRPr="00F64B6B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1" w:type="dxa"/>
          </w:tcPr>
          <w:p w:rsidR="007C34B5" w:rsidRPr="00F64B6B" w:rsidRDefault="007C34B5" w:rsidP="00E72C4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Минимизация коррупционных рисков</w:t>
            </w:r>
          </w:p>
        </w:tc>
      </w:tr>
      <w:tr w:rsidR="007C34B5" w:rsidRPr="000A74BD" w:rsidTr="00D44E92">
        <w:trPr>
          <w:jc w:val="center"/>
        </w:trPr>
        <w:tc>
          <w:tcPr>
            <w:tcW w:w="677" w:type="dxa"/>
          </w:tcPr>
          <w:p w:rsidR="007C34B5" w:rsidRPr="000A74BD" w:rsidRDefault="007C34B5" w:rsidP="00F1142F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867" w:type="dxa"/>
          </w:tcPr>
          <w:p w:rsidR="007C34B5" w:rsidRPr="000A74BD" w:rsidRDefault="007C34B5" w:rsidP="00F1142F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Предоставление неполной или недостоверной информации о закупке, подмена разъяснений ссылками на документацию о </w:t>
            </w: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закупке. Прямые контакты и переговоры с поставщиком</w:t>
            </w:r>
          </w:p>
        </w:tc>
        <w:tc>
          <w:tcPr>
            <w:tcW w:w="4103" w:type="dxa"/>
          </w:tcPr>
          <w:p w:rsidR="007C34B5" w:rsidRPr="00F64B6B" w:rsidRDefault="007C34B5" w:rsidP="00F1142F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</w:t>
            </w: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нализ закупок контролирующими органами</w:t>
            </w:r>
          </w:p>
        </w:tc>
        <w:tc>
          <w:tcPr>
            <w:tcW w:w="1985" w:type="dxa"/>
          </w:tcPr>
          <w:p w:rsidR="007C34B5" w:rsidRPr="00F64B6B" w:rsidRDefault="007C34B5" w:rsidP="00F1142F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701" w:type="dxa"/>
          </w:tcPr>
          <w:p w:rsidR="007C34B5" w:rsidRDefault="007C34B5" w:rsidP="00F1142F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7C34B5" w:rsidRPr="00F64B6B" w:rsidRDefault="007C34B5" w:rsidP="00F1142F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961" w:type="dxa"/>
          </w:tcPr>
          <w:p w:rsidR="007C34B5" w:rsidRPr="00F64B6B" w:rsidRDefault="007C34B5" w:rsidP="00F1142F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Минимизация коррупционных рисков</w:t>
            </w:r>
          </w:p>
        </w:tc>
      </w:tr>
      <w:tr w:rsidR="007C34B5" w:rsidRPr="000A74BD" w:rsidTr="00D44E92">
        <w:trPr>
          <w:jc w:val="center"/>
        </w:trPr>
        <w:tc>
          <w:tcPr>
            <w:tcW w:w="677" w:type="dxa"/>
          </w:tcPr>
          <w:p w:rsidR="007C34B5" w:rsidRPr="000A74BD" w:rsidRDefault="007C34B5" w:rsidP="008637B1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2867" w:type="dxa"/>
          </w:tcPr>
          <w:p w:rsidR="007C34B5" w:rsidRPr="000A74BD" w:rsidRDefault="007C34B5" w:rsidP="008637B1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>Необоснованная дискриминация в отношении поставщиков при рассмотрении и оценке заявок. Использование необъявленных или недопустимых критериев оценки заявок, условий допуска к участию в закупке. Оглашение неполной или неверной информации о предложениях конкурентов. Подлог, добавление, изъятие, непринятие заявок на участие в закупках.</w:t>
            </w:r>
          </w:p>
        </w:tc>
        <w:tc>
          <w:tcPr>
            <w:tcW w:w="4103" w:type="dxa"/>
          </w:tcPr>
          <w:p w:rsidR="007C34B5" w:rsidRPr="006649A6" w:rsidRDefault="007C34B5" w:rsidP="008637B1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Указание в документации о закупке максимально подробно критериев оценки товаров, работ, услуг и описания объекта закупки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о</w:t>
            </w: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знакомление с результатами независимого мониторинга и оценки эффективности закупок, проведенных субъектами общественного контроля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7C34B5" w:rsidRPr="00F64B6B" w:rsidRDefault="007C34B5" w:rsidP="008637B1">
            <w:pPr>
              <w:tabs>
                <w:tab w:val="left" w:pos="5805"/>
              </w:tabs>
              <w:spacing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ормирование заказчиком комиссий по осуществлению закупок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аполнение Декларации о наличии конфликта интересов при осуществлении закупок членами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6649A6">
              <w:rPr>
                <w:rFonts w:ascii="Times New Roman" w:hAnsi="Times New Roman" w:cs="Times New Roman"/>
                <w:bCs/>
                <w:sz w:val="26"/>
                <w:szCs w:val="26"/>
              </w:rPr>
              <w:t>диной Комиссии.</w:t>
            </w:r>
          </w:p>
        </w:tc>
        <w:tc>
          <w:tcPr>
            <w:tcW w:w="1985" w:type="dxa"/>
          </w:tcPr>
          <w:p w:rsidR="007C34B5" w:rsidRPr="00F64B6B" w:rsidRDefault="007C34B5" w:rsidP="008637B1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701" w:type="dxa"/>
          </w:tcPr>
          <w:p w:rsidR="007C34B5" w:rsidRDefault="007C34B5" w:rsidP="008637B1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7C34B5" w:rsidRDefault="007C34B5" w:rsidP="008637B1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Члены единой комиссии</w:t>
            </w:r>
          </w:p>
          <w:p w:rsidR="007C34B5" w:rsidRPr="00F64B6B" w:rsidRDefault="007C34B5" w:rsidP="008637B1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961" w:type="dxa"/>
          </w:tcPr>
          <w:p w:rsidR="007C34B5" w:rsidRPr="00F64B6B" w:rsidRDefault="007C34B5" w:rsidP="008637B1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Минимизация коррупционных рисков</w:t>
            </w:r>
          </w:p>
        </w:tc>
      </w:tr>
      <w:tr w:rsidR="007C34B5" w:rsidRPr="000A74BD" w:rsidTr="00D44E92">
        <w:trPr>
          <w:jc w:val="center"/>
        </w:trPr>
        <w:tc>
          <w:tcPr>
            <w:tcW w:w="677" w:type="dxa"/>
          </w:tcPr>
          <w:p w:rsidR="007C34B5" w:rsidRPr="000A74BD" w:rsidRDefault="007C34B5" w:rsidP="00B9270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867" w:type="dxa"/>
          </w:tcPr>
          <w:p w:rsidR="007C34B5" w:rsidRPr="000A74BD" w:rsidRDefault="007C34B5" w:rsidP="00B9270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Необоснованные изменения условий контракта, затягивание (ускорение) заключения контракта, запрос </w:t>
            </w: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недопустимых или необъявленных документов и сведений при заключении контракта, необоснованный отказ от заключения контракта</w:t>
            </w:r>
          </w:p>
        </w:tc>
        <w:tc>
          <w:tcPr>
            <w:tcW w:w="4103" w:type="dxa"/>
          </w:tcPr>
          <w:p w:rsidR="007C34B5" w:rsidRPr="00F64B6B" w:rsidRDefault="007C34B5" w:rsidP="00B92700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</w:t>
            </w: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воевременная подготовка и направление заказчиком проектов контрактов победителю закупки, предоставление информации об осуществлении закупок по запросам субъектов общественного контроля</w:t>
            </w:r>
          </w:p>
        </w:tc>
        <w:tc>
          <w:tcPr>
            <w:tcW w:w="1985" w:type="dxa"/>
          </w:tcPr>
          <w:p w:rsidR="007C34B5" w:rsidRPr="00F64B6B" w:rsidRDefault="007C34B5" w:rsidP="00B92700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01" w:type="dxa"/>
          </w:tcPr>
          <w:p w:rsidR="007C34B5" w:rsidRDefault="007C34B5" w:rsidP="00B9270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7C34B5" w:rsidRDefault="007C34B5" w:rsidP="00B9270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C7B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  <w:p w:rsidR="007C34B5" w:rsidRPr="00F64B6B" w:rsidRDefault="007C34B5" w:rsidP="00B9270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1" w:type="dxa"/>
          </w:tcPr>
          <w:p w:rsidR="007C34B5" w:rsidRPr="00F64B6B" w:rsidRDefault="007C34B5" w:rsidP="00B9270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Минимизация коррупционных рисков</w:t>
            </w:r>
          </w:p>
        </w:tc>
      </w:tr>
      <w:tr w:rsidR="007C34B5" w:rsidRPr="000A74BD" w:rsidTr="00D44E92">
        <w:trPr>
          <w:jc w:val="center"/>
        </w:trPr>
        <w:tc>
          <w:tcPr>
            <w:tcW w:w="677" w:type="dxa"/>
          </w:tcPr>
          <w:p w:rsidR="007C34B5" w:rsidRPr="000A74BD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2867" w:type="dxa"/>
          </w:tcPr>
          <w:p w:rsidR="007C34B5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Необоснованно жесткие (мягкие) или необъявленные условия приемки продукции по контракту, необоснованное затягивание (ускорение) приемки по контракту, намеренное отсутствие </w:t>
            </w:r>
            <w:proofErr w:type="gramStart"/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контроля за</w:t>
            </w:r>
            <w:proofErr w:type="gramEnd"/>
            <w:r w:rsidRPr="00642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исполнением гарантий или игнорирование гарантийного периода, отсутствие требования неустойки при нарушении условий контракта</w:t>
            </w:r>
          </w:p>
          <w:p w:rsidR="007C34B5" w:rsidRPr="000A74BD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03" w:type="dxa"/>
          </w:tcPr>
          <w:p w:rsidR="007C34B5" w:rsidRPr="00F64B6B" w:rsidRDefault="007C34B5" w:rsidP="00B10FFE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риемка товаров, работ, услуг соответствующих требованиям, установленным контрактом (договором), привлечение экспертов к проведению проверки предоставленных поставщиком результатов, предусмотренных контрактом</w:t>
            </w:r>
          </w:p>
        </w:tc>
        <w:tc>
          <w:tcPr>
            <w:tcW w:w="1985" w:type="dxa"/>
          </w:tcPr>
          <w:p w:rsidR="007C34B5" w:rsidRPr="00F64B6B" w:rsidRDefault="007C34B5" w:rsidP="00B10FFE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01" w:type="dxa"/>
          </w:tcPr>
          <w:p w:rsidR="007C34B5" w:rsidRPr="00DB5400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7C34B5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Члены единой комиссии</w:t>
            </w:r>
          </w:p>
          <w:p w:rsidR="007C34B5" w:rsidRPr="00DB5400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Отделы – инициаторы закупки и функциональные заказчики, в чьих интересах осуществляется закупка</w:t>
            </w:r>
          </w:p>
          <w:p w:rsidR="007C34B5" w:rsidRPr="00F64B6B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961" w:type="dxa"/>
          </w:tcPr>
          <w:p w:rsidR="007C34B5" w:rsidRPr="00F64B6B" w:rsidRDefault="007C34B5" w:rsidP="00B10FFE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400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Минимизация коррупционных рисков</w:t>
            </w:r>
          </w:p>
        </w:tc>
      </w:tr>
      <w:tr w:rsidR="007C34B5" w:rsidRPr="000A74BD" w:rsidTr="00D44E92">
        <w:trPr>
          <w:jc w:val="center"/>
        </w:trPr>
        <w:tc>
          <w:tcPr>
            <w:tcW w:w="677" w:type="dxa"/>
          </w:tcPr>
          <w:p w:rsidR="007C34B5" w:rsidRPr="00EA7EA5" w:rsidRDefault="007C34B5" w:rsidP="004C59F5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7EA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2867" w:type="dxa"/>
          </w:tcPr>
          <w:p w:rsidR="007C34B5" w:rsidRPr="00EA7EA5" w:rsidRDefault="007C34B5" w:rsidP="004C59F5">
            <w:pPr>
              <w:tabs>
                <w:tab w:val="left" w:pos="5805"/>
              </w:tabs>
              <w:spacing w:after="1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7EA5">
              <w:rPr>
                <w:rFonts w:ascii="Times New Roman" w:hAnsi="Times New Roman" w:cs="Times New Roman"/>
                <w:bCs/>
                <w:sz w:val="26"/>
                <w:szCs w:val="26"/>
              </w:rPr>
              <w:t>Неверный выбор способа определения поставщика (подрядчика, исполнителя)</w:t>
            </w:r>
          </w:p>
        </w:tc>
        <w:tc>
          <w:tcPr>
            <w:tcW w:w="4103" w:type="dxa"/>
          </w:tcPr>
          <w:p w:rsidR="007C34B5" w:rsidRPr="00EA7EA5" w:rsidRDefault="007C34B5" w:rsidP="004C59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A7EA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Запрет искусственного дробления закупки, обязанность представлять информацию о наличии конфликта интересов руководителю контрактной службы, ограничение возможности закупающим специалистам получать какие-либо личные выгоды от проведения закупки, мониторинг закупок на предмет выявления неоднократных (в течение года) закупок однородных товаров, работ, услуг</w:t>
            </w:r>
          </w:p>
        </w:tc>
        <w:tc>
          <w:tcPr>
            <w:tcW w:w="1985" w:type="dxa"/>
          </w:tcPr>
          <w:p w:rsidR="007C34B5" w:rsidRPr="00EA7EA5" w:rsidRDefault="007C34B5" w:rsidP="004C59F5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7EA5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701" w:type="dxa"/>
          </w:tcPr>
          <w:p w:rsidR="007C34B5" w:rsidRPr="00EA7EA5" w:rsidRDefault="007C34B5" w:rsidP="004C59F5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7EA5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Финансово-экономический отдел</w:t>
            </w:r>
          </w:p>
          <w:p w:rsidR="007C34B5" w:rsidRPr="00EA7EA5" w:rsidRDefault="007C34B5" w:rsidP="004C59F5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1" w:type="dxa"/>
          </w:tcPr>
          <w:p w:rsidR="007C34B5" w:rsidRPr="00EA7EA5" w:rsidRDefault="007C34B5" w:rsidP="004C59F5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7EA5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Минимизация коррупционных рисков</w:t>
            </w:r>
          </w:p>
        </w:tc>
      </w:tr>
    </w:tbl>
    <w:p w:rsidR="00642ABF" w:rsidRDefault="00642ABF" w:rsidP="007C34B5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ABF" w:rsidRDefault="00642ABF" w:rsidP="00D26C39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9" w:rsidRPr="00F91C28" w:rsidRDefault="00D26C39" w:rsidP="00D26C39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F64B6B" w:rsidRDefault="00F64B6B" w:rsidP="000A74BD">
      <w:pPr>
        <w:pStyle w:val="aa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  <w:sectPr w:rsidR="00F64B6B" w:rsidSect="00F91C28">
          <w:pgSz w:w="16838" w:h="11906" w:orient="landscape" w:code="9"/>
          <w:pgMar w:top="1588" w:right="964" w:bottom="851" w:left="964" w:header="709" w:footer="709" w:gutter="0"/>
          <w:cols w:space="708"/>
          <w:docGrid w:linePitch="360"/>
        </w:sectPr>
      </w:pPr>
    </w:p>
    <w:p w:rsidR="000A74BD" w:rsidRPr="00C656BF" w:rsidRDefault="000A74BD" w:rsidP="000A74BD">
      <w:pPr>
        <w:pStyle w:val="aa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  <w:r w:rsidRPr="00C656BF">
        <w:rPr>
          <w:b/>
          <w:sz w:val="28"/>
          <w:szCs w:val="28"/>
        </w:rPr>
        <w:lastRenderedPageBreak/>
        <w:t>Приложение</w:t>
      </w:r>
      <w:r w:rsidR="00F64B6B">
        <w:rPr>
          <w:b/>
          <w:sz w:val="28"/>
          <w:szCs w:val="28"/>
        </w:rPr>
        <w:t xml:space="preserve"> 1</w:t>
      </w:r>
    </w:p>
    <w:p w:rsidR="000A74BD" w:rsidRPr="00C656BF" w:rsidRDefault="000A74BD" w:rsidP="00F64B6B">
      <w:pPr>
        <w:pStyle w:val="ConsPlusNonformat"/>
        <w:ind w:left="4962" w:hanging="56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F64B6B">
        <w:rPr>
          <w:rFonts w:ascii="Times New Roman" w:hAnsi="Times New Roman" w:cs="Times New Roman"/>
          <w:sz w:val="28"/>
          <w:szCs w:val="28"/>
        </w:rPr>
        <w:t xml:space="preserve">Административный отдел </w:t>
      </w:r>
      <w:proofErr w:type="spellStart"/>
      <w:r w:rsidR="00F64B6B">
        <w:rPr>
          <w:rFonts w:ascii="Times New Roman" w:hAnsi="Times New Roman" w:cs="Times New Roman"/>
          <w:sz w:val="28"/>
          <w:szCs w:val="28"/>
        </w:rPr>
        <w:t>Карелиястата</w:t>
      </w:r>
      <w:proofErr w:type="spellEnd"/>
    </w:p>
    <w:p w:rsidR="000A74BD" w:rsidRPr="00C656BF" w:rsidRDefault="000A74BD" w:rsidP="00F64B6B">
      <w:pPr>
        <w:pStyle w:val="ConsPlusNonformat"/>
        <w:ind w:left="4962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A74BD" w:rsidRPr="00C656BF" w:rsidRDefault="000A74BD" w:rsidP="00F64B6B">
      <w:pPr>
        <w:pStyle w:val="ConsPlusNonformat"/>
        <w:ind w:left="496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0A74BD" w:rsidRPr="00C656BF" w:rsidRDefault="000A74BD" w:rsidP="00F64B6B">
      <w:pPr>
        <w:pStyle w:val="ConsPlusNonformat"/>
        <w:ind w:left="496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A74BD" w:rsidRPr="00C656BF" w:rsidRDefault="000A74BD" w:rsidP="00F64B6B">
      <w:pPr>
        <w:pStyle w:val="ConsPlusNonformat"/>
        <w:ind w:left="4962" w:hanging="56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0A74BD" w:rsidRPr="00C656BF" w:rsidRDefault="000A74BD" w:rsidP="000A74BD">
      <w:pPr>
        <w:pStyle w:val="aa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0A74BD" w:rsidRPr="00C656BF" w:rsidRDefault="000A74BD" w:rsidP="000A7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BF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proofErr w:type="gramStart"/>
      <w:r w:rsidRPr="00C656B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 w:rsidRPr="009A3B9B">
        <w:rPr>
          <w:rStyle w:val="a9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5"/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0A74BD" w:rsidRPr="00C656BF" w:rsidTr="00B613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198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0A74BD" w:rsidRPr="00C656BF" w:rsidRDefault="000A74BD" w:rsidP="00B6136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0A74BD" w:rsidRPr="00C656BF" w:rsidRDefault="000A74BD" w:rsidP="000A74BD">
      <w:pPr>
        <w:spacing w:after="0"/>
        <w:rPr>
          <w:vanish/>
        </w:rPr>
      </w:pPr>
    </w:p>
    <w:p w:rsidR="000A74BD" w:rsidRPr="00C656BF" w:rsidRDefault="000A74BD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BD" w:rsidRPr="00C656BF" w:rsidRDefault="000A74BD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BD" w:rsidRDefault="000A74BD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B" w:rsidRDefault="00F64B6B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B" w:rsidRDefault="00F64B6B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B" w:rsidRDefault="00F64B6B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B" w:rsidRDefault="00F64B6B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B" w:rsidRPr="00C656BF" w:rsidRDefault="00F64B6B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BD" w:rsidRPr="00C656BF" w:rsidRDefault="000A74BD" w:rsidP="000A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0A74BD" w:rsidRPr="00C656BF" w:rsidTr="00B6136A">
        <w:trPr>
          <w:trHeight w:val="567"/>
        </w:trPr>
        <w:tc>
          <w:tcPr>
            <w:tcW w:w="7054" w:type="dxa"/>
            <w:vAlign w:val="center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Являетесь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Владеете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прямо или как бенефициар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A3B9B">
              <w:rPr>
                <w:rStyle w:val="a9"/>
                <w:rFonts w:ascii="Times New Roman" w:hAnsi="Times New Roman"/>
                <w:sz w:val="2"/>
                <w:szCs w:val="28"/>
              </w:rPr>
              <w:footnoteReference w:id="6"/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Имеете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Пользуетесь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7054" w:type="dxa"/>
          </w:tcPr>
          <w:p w:rsidR="000A74BD" w:rsidRPr="00C656BF" w:rsidRDefault="000A74BD" w:rsidP="00B6136A">
            <w:pPr>
              <w:pStyle w:val="aa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74BD" w:rsidRPr="00C656BF" w:rsidRDefault="000A74BD" w:rsidP="000A74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BD" w:rsidRPr="00C656BF" w:rsidRDefault="000A74BD" w:rsidP="000A74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C656BF">
        <w:rPr>
          <w:rFonts w:ascii="Times New Roman" w:hAnsi="Times New Roman" w:cs="Times New Roman"/>
          <w:sz w:val="28"/>
          <w:szCs w:val="28"/>
        </w:rPr>
        <w:lastRenderedPageBreak/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6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A74BD" w:rsidRPr="00C656BF" w:rsidTr="00B6136A">
        <w:trPr>
          <w:trHeight w:val="360"/>
        </w:trPr>
        <w:tc>
          <w:tcPr>
            <w:tcW w:w="9360" w:type="dxa"/>
          </w:tcPr>
          <w:p w:rsidR="000A74BD" w:rsidRPr="00C656BF" w:rsidRDefault="000A74BD" w:rsidP="00B61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BD" w:rsidRPr="00C656BF" w:rsidRDefault="000A74BD" w:rsidP="00B61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BD" w:rsidRPr="00C656BF" w:rsidRDefault="000A74BD" w:rsidP="00B61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BD" w:rsidRPr="00C656BF" w:rsidRDefault="000A74BD" w:rsidP="00B61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BD" w:rsidRPr="00C656BF" w:rsidRDefault="000A74BD" w:rsidP="00B61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я прочитал и понял все вышеуказанные вопросы;</w:t>
      </w:r>
    </w:p>
    <w:p w:rsidR="000A74BD" w:rsidRPr="00C656BF" w:rsidRDefault="000A74BD" w:rsidP="000A7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0A74BD" w:rsidRPr="00C656BF" w:rsidRDefault="000A74BD" w:rsidP="000A74BD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0A74BD" w:rsidRPr="00C656BF" w:rsidTr="00B613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BD" w:rsidRPr="00C656BF" w:rsidTr="00B6136A">
        <w:tc>
          <w:tcPr>
            <w:tcW w:w="198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0A74BD" w:rsidRPr="00C656BF" w:rsidRDefault="000A74BD" w:rsidP="00B6136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A74BD" w:rsidRPr="00C656BF" w:rsidRDefault="000A74BD" w:rsidP="00B61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0A74BD" w:rsidRPr="00C656BF" w:rsidRDefault="000A74BD" w:rsidP="000A74BD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0A74BD" w:rsidRPr="00C656BF" w:rsidTr="00B613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BD" w:rsidRPr="00A4240D" w:rsidTr="00B6136A">
        <w:tc>
          <w:tcPr>
            <w:tcW w:w="198" w:type="dxa"/>
            <w:shd w:val="clear" w:color="auto" w:fill="auto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0A74BD" w:rsidRPr="00C656BF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0A74BD" w:rsidRPr="00C656BF" w:rsidRDefault="000A74BD" w:rsidP="00B6136A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0A74BD" w:rsidRPr="00A4240D" w:rsidRDefault="000A74BD" w:rsidP="00B6136A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0A74BD" w:rsidRPr="000A74BD" w:rsidRDefault="000A74BD" w:rsidP="000A74BD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A74BD" w:rsidRPr="000A74BD" w:rsidRDefault="000A74BD" w:rsidP="000A74BD">
      <w:pPr>
        <w:jc w:val="right"/>
        <w:rPr>
          <w:rFonts w:ascii="Times New Roman" w:hAnsi="Times New Roman" w:cs="Times New Roman"/>
          <w:color w:val="0070C0"/>
        </w:rPr>
      </w:pPr>
    </w:p>
    <w:sectPr w:rsidR="000A74BD" w:rsidRPr="000A74BD" w:rsidSect="00F64B6B">
      <w:pgSz w:w="11906" w:h="16838" w:code="9"/>
      <w:pgMar w:top="964" w:right="851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AD" w:rsidRDefault="000D3DAD" w:rsidP="008F31BD">
      <w:pPr>
        <w:spacing w:after="0" w:line="240" w:lineRule="auto"/>
      </w:pPr>
      <w:r>
        <w:separator/>
      </w:r>
    </w:p>
  </w:endnote>
  <w:endnote w:type="continuationSeparator" w:id="0">
    <w:p w:rsidR="000D3DAD" w:rsidRDefault="000D3DAD" w:rsidP="008F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AD" w:rsidRDefault="000D3DAD" w:rsidP="008F31BD">
      <w:pPr>
        <w:spacing w:after="0" w:line="240" w:lineRule="auto"/>
      </w:pPr>
      <w:r>
        <w:separator/>
      </w:r>
    </w:p>
  </w:footnote>
  <w:footnote w:type="continuationSeparator" w:id="0">
    <w:p w:rsidR="000D3DAD" w:rsidRDefault="000D3DAD" w:rsidP="008F31BD">
      <w:pPr>
        <w:spacing w:after="0" w:line="240" w:lineRule="auto"/>
      </w:pPr>
      <w:r>
        <w:continuationSeparator/>
      </w:r>
    </w:p>
  </w:footnote>
  <w:footnote w:id="1">
    <w:p w:rsidR="00D44E92" w:rsidRPr="000A74BD" w:rsidRDefault="00D44E9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0A74BD">
        <w:rPr>
          <w:rFonts w:ascii="Times New Roman" w:hAnsi="Times New Roman" w:cs="Times New Roman"/>
        </w:rPr>
        <w:t>Понятие личной заинтересованности используется в значении, указанном в Федеральном законе от 25 декабря 2008 г. № 273-ФЗ «О противодействии коррупции».</w:t>
      </w:r>
    </w:p>
  </w:footnote>
  <w:footnote w:id="2">
    <w:p w:rsidR="00D44E92" w:rsidRDefault="00D44E92">
      <w:pPr>
        <w:pStyle w:val="a7"/>
      </w:pPr>
      <w:r w:rsidRPr="000A74BD">
        <w:rPr>
          <w:rStyle w:val="a9"/>
          <w:rFonts w:ascii="Times New Roman" w:hAnsi="Times New Roman" w:cs="Times New Roman"/>
        </w:rPr>
        <w:footnoteRef/>
      </w:r>
      <w:r w:rsidRPr="000A74BD">
        <w:rPr>
          <w:rFonts w:ascii="Times New Roman" w:hAnsi="Times New Roman" w:cs="Times New Roman"/>
        </w:rPr>
        <w:t xml:space="preserve"> 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(утверждены Минтрудом России).</w:t>
      </w:r>
    </w:p>
  </w:footnote>
  <w:footnote w:id="3">
    <w:p w:rsidR="00D44E92" w:rsidRPr="000A74BD" w:rsidRDefault="00D44E9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gramStart"/>
      <w:r w:rsidRPr="000A74BD">
        <w:rPr>
          <w:rFonts w:ascii="Times New Roman" w:hAnsi="Times New Roman" w:cs="Times New Roman"/>
        </w:rPr>
        <w:t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№223-ФЗ</w:t>
      </w:r>
      <w:proofErr w:type="gramEnd"/>
      <w:r w:rsidRPr="000A74BD">
        <w:rPr>
          <w:rFonts w:ascii="Times New Roman" w:hAnsi="Times New Roman" w:cs="Times New Roman"/>
        </w:rPr>
        <w:t xml:space="preserve">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0A74BD">
        <w:rPr>
          <w:rFonts w:ascii="Times New Roman" w:hAnsi="Times New Roman" w:cs="Times New Roman"/>
        </w:rPr>
        <w:t>которая</w:t>
      </w:r>
      <w:proofErr w:type="gramEnd"/>
      <w:r w:rsidRPr="000A74BD">
        <w:rPr>
          <w:rFonts w:ascii="Times New Roman" w:hAnsi="Times New Roman" w:cs="Times New Roman"/>
        </w:rPr>
        <w:t xml:space="preserve"> приводит или может привести к конфликту интересов (утверждены Минтрудом России).</w:t>
      </w:r>
    </w:p>
  </w:footnote>
  <w:footnote w:id="4">
    <w:p w:rsidR="000A74BD" w:rsidRDefault="000A74BD">
      <w:pPr>
        <w:pStyle w:val="a7"/>
      </w:pPr>
      <w:r w:rsidRPr="000A74BD">
        <w:rPr>
          <w:rStyle w:val="a9"/>
          <w:rFonts w:ascii="Times New Roman" w:hAnsi="Times New Roman" w:cs="Times New Roman"/>
        </w:rPr>
        <w:footnoteRef/>
      </w:r>
      <w:r w:rsidRPr="000A74BD">
        <w:rPr>
          <w:rFonts w:ascii="Times New Roman" w:hAnsi="Times New Roman" w:cs="Times New Roman"/>
        </w:rPr>
        <w:t xml:space="preserve">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г. №567).</w:t>
      </w:r>
    </w:p>
  </w:footnote>
  <w:footnote w:id="5">
    <w:p w:rsidR="000A74BD" w:rsidRDefault="000A74BD" w:rsidP="000A74BD">
      <w:pPr>
        <w:pStyle w:val="a7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9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0A74BD" w:rsidRPr="00A4240D" w:rsidRDefault="000A74BD" w:rsidP="000A74BD">
      <w:pPr>
        <w:pStyle w:val="a7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0A74BD" w:rsidRPr="0021514E" w:rsidRDefault="000A74BD" w:rsidP="000A74BD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6">
    <w:p w:rsidR="000A74BD" w:rsidRPr="00E55719" w:rsidRDefault="000A74BD" w:rsidP="000A74BD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9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</w:t>
      </w:r>
      <w:proofErr w:type="gramStart"/>
      <w:r w:rsidRPr="00E55719">
        <w:rPr>
          <w:rFonts w:ascii="Times New Roman" w:hAnsi="Times New Roman" w:cs="Times New Roman"/>
        </w:rPr>
        <w:t>которое</w:t>
      </w:r>
      <w:proofErr w:type="gramEnd"/>
      <w:r w:rsidRPr="00E55719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8A7"/>
    <w:multiLevelType w:val="hybridMultilevel"/>
    <w:tmpl w:val="48880A90"/>
    <w:lvl w:ilvl="0" w:tplc="61E0668A">
      <w:start w:val="1"/>
      <w:numFmt w:val="decimal"/>
      <w:lvlText w:val="%1."/>
      <w:lvlJc w:val="left"/>
      <w:pPr>
        <w:ind w:left="216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9"/>
    <w:rsid w:val="00000B6E"/>
    <w:rsid w:val="000A74BD"/>
    <w:rsid w:val="000C1D90"/>
    <w:rsid w:val="000C253B"/>
    <w:rsid w:val="000D3DAD"/>
    <w:rsid w:val="00191802"/>
    <w:rsid w:val="001C3488"/>
    <w:rsid w:val="00201FD7"/>
    <w:rsid w:val="00264E06"/>
    <w:rsid w:val="00280E60"/>
    <w:rsid w:val="002C53EF"/>
    <w:rsid w:val="00335304"/>
    <w:rsid w:val="00457D23"/>
    <w:rsid w:val="005F619E"/>
    <w:rsid w:val="00603C7B"/>
    <w:rsid w:val="00642ABF"/>
    <w:rsid w:val="006649A6"/>
    <w:rsid w:val="007179D9"/>
    <w:rsid w:val="007C34B5"/>
    <w:rsid w:val="008F31BD"/>
    <w:rsid w:val="009F35DD"/>
    <w:rsid w:val="00A47BE1"/>
    <w:rsid w:val="00A96ED0"/>
    <w:rsid w:val="00AD1138"/>
    <w:rsid w:val="00B43099"/>
    <w:rsid w:val="00B45BD1"/>
    <w:rsid w:val="00BA52DA"/>
    <w:rsid w:val="00BF0421"/>
    <w:rsid w:val="00BF17CA"/>
    <w:rsid w:val="00C0475C"/>
    <w:rsid w:val="00C50721"/>
    <w:rsid w:val="00D26C39"/>
    <w:rsid w:val="00D44E92"/>
    <w:rsid w:val="00DB5400"/>
    <w:rsid w:val="00E0652F"/>
    <w:rsid w:val="00E644BA"/>
    <w:rsid w:val="00EA7EA5"/>
    <w:rsid w:val="00F64B6B"/>
    <w:rsid w:val="00F91C28"/>
    <w:rsid w:val="00FD56EE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6C39"/>
    <w:pPr>
      <w:spacing w:after="0" w:afterAutospacing="1" w:line="240" w:lineRule="auto"/>
      <w:ind w:left="142" w:hanging="142"/>
      <w:jc w:val="both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31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31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31BD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8F31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F31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31BD"/>
    <w:rPr>
      <w:vertAlign w:val="superscript"/>
    </w:rPr>
  </w:style>
  <w:style w:type="paragraph" w:styleId="aa">
    <w:name w:val="List Paragraph"/>
    <w:basedOn w:val="a"/>
    <w:uiPriority w:val="34"/>
    <w:qFormat/>
    <w:rsid w:val="000A7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7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6C39"/>
    <w:pPr>
      <w:spacing w:after="0" w:afterAutospacing="1" w:line="240" w:lineRule="auto"/>
      <w:ind w:left="142" w:hanging="142"/>
      <w:jc w:val="both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31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31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31BD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8F31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F31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31BD"/>
    <w:rPr>
      <w:vertAlign w:val="superscript"/>
    </w:rPr>
  </w:style>
  <w:style w:type="paragraph" w:styleId="aa">
    <w:name w:val="List Paragraph"/>
    <w:basedOn w:val="a"/>
    <w:uiPriority w:val="34"/>
    <w:qFormat/>
    <w:rsid w:val="000A7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7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6FE8-0249-4AF1-9F87-EB02028E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Тихоход Дарья Сергеевна</cp:lastModifiedBy>
  <cp:revision>13</cp:revision>
  <cp:lastPrinted>2022-06-08T09:23:00Z</cp:lastPrinted>
  <dcterms:created xsi:type="dcterms:W3CDTF">2022-07-29T09:01:00Z</dcterms:created>
  <dcterms:modified xsi:type="dcterms:W3CDTF">2024-08-01T14:01:00Z</dcterms:modified>
</cp:coreProperties>
</file>